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831.0" w:type="dxa"/>
        <w:tblLayout w:type="fixed"/>
        <w:tblLook w:val="04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1638.845214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Style w:val="Title"/>
              <w:widowControl w:val="0"/>
              <w:jc w:val="center"/>
              <w:rPr>
                <w:b w:val="1"/>
                <w:bCs w:val="1"/>
                <w:sz w:val="34"/>
                <w:szCs w:val="34"/>
              </w:rPr>
            </w:pPr>
            <w:bookmarkStart w:colFirst="0" w:colLast="0" w:name="_3uiioqf0l6vq" w:id="0"/>
            <w:bookmarkEnd w:id="0"/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CRITERIOS DE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SELECCIÓN DE ESTUDIANTES CANDIDATOS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PARA LOS </w:t>
            </w:r>
            <w:r w:rsidDel="00000000" w:rsidR="00000000" w:rsidRPr="00000000">
              <w:rPr>
                <w:b w:val="1"/>
                <w:bCs w:val="1"/>
                <w:sz w:val="34"/>
                <w:szCs w:val="34"/>
                <w:rtl w:val="0"/>
              </w:rPr>
              <w:t xml:space="preserve">PROGRAMAS DE APRENDIZAJE ESCOLARES ERASMUS+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2"/>
                <w:szCs w:val="4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highlight w:val="green"/>
                <w:u w:val="none"/>
                <w:vertAlign w:val="baseline"/>
                <w:rtl w:val="0"/>
              </w:rPr>
              <w:t xml:space="preserve">MO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highlight w:val="green"/>
                <w:u w:val="none"/>
                <w:vertAlign w:val="baseline"/>
                <w:rtl w:val="0"/>
              </w:rPr>
              <w:t xml:space="preserve">VILIDAD DE GRUPO DE ALUMNOS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Siguiendo la línea del Plan Erasmus presentada y a fin de que sea un proceso de selección transparente y público se establecen los siguientes ítems a valorar: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(Ver nota*)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Alumno que se encuentre dentro del programa y realice las actividades establecidas dentro del mismo o en proyecto eTwinning guiado (es necesario el consentimiento de los padres en el caso de menores de edad o en el suyo propio para formar parte del proyecto). 50%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Nivel de idiomas (nota del curso anterior o del trimestre anterior) 20%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bookmarkStart w:colFirst="0" w:colLast="0" w:name="_nl6rhwi48b60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Nota media del curso anterior o en su caso del trimestre anterior. 10%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bookmarkStart w:colFirst="0" w:colLast="0" w:name="_jdsbk6krlq4g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Haber participado en un proyecto eTwinning el curso anterior y no haber realizado movilidad en ese curso.  15%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Compromiso y apoyo de las familias para cuantas acciones se lleven a cabo con anterioridad a la actividad transnacional (acogimientos anteriores sin hacer movilidad, traslados en coche a estudiantes, etc). 5%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Además y para garantizar la inclusión de alumnado con menos oportunidades, la pertenencia a un colectivo vulnerable que presente condiciones de desigualdad por motivos geográficos, económicos, étnicos o sociales podrá obtener hasta un 10% más en la nota obtenida en los ítems anteriores. Esta situación deberá ser comunicada por el estudiante o la familia a la entrega de la autorización. La Comisión de Internalización, una vez informada de esta situación, requerirá los documentos necesarios para la acreditación de la situación.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Asimismo, para garantizar la igualdad de oportunidades, el alumno que haya participado en una movilidad, tendrá que esperar un curso académico para poder optar a otra movilidad. Es decir, si un alumno ha participado en una movilidad del curso 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NO podrá optar a participar en la movilidad de este curso 25/26. Eso no significa que no pueda enriquecerse de otras acciones que rodean la movilidad (proyectos etwinning, acogimientos, etc).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(Nota 1*)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Aquel alumno que, aun cumpliendo los requisitos anteriores, tenga algún tipo de parte de convivencia o alguna acción realizada en cuanto a absentismo escolar se refiere, quedará automáticamente descartado como candidato participante.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PROCEDIMIENTO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Los alumnos participantes presentarán al coordinador del proyecto su solicitud/permiso parental.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Tras las solicitudes presentadas en el tiempo establecido y siguiendo los ítems arriba indicados, el coordinador realizará la selección de los estudiantes. La selección de los estudiantes deberá de ser equitativa, transparente y coherente según dichos criterios.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procedimiento de selección se dará a conocer a la Comisión de Internalización y a todas las partes implicadas. Además, el listado de los alumnos seleccionados será publicado en nuestro Panel Erasmus. Una vez publicada la información, los alumnos y su familia serán informados del programa de aprendizaje (agenda) a desarrollar en el país de destino y firmarán el acuerdo y los compromisos que adquieren para su desarrollo.</w:t>
      </w:r>
    </w:p>
    <w:sectPr>
      <w:headerReference r:id="rId6" w:type="default"/>
      <w:pgSz w:h="16838" w:w="11906" w:orient="portrait"/>
      <w:pgMar w:bottom="1133" w:top="1133" w:left="1440" w:right="1133" w:header="56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-438147</wp:posOffset>
          </wp:positionH>
          <wp:positionV relativeFrom="paragraph">
            <wp:posOffset>-66673</wp:posOffset>
          </wp:positionV>
          <wp:extent cx="2967355" cy="7175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7355" cy="717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4152900</wp:posOffset>
          </wp:positionH>
          <wp:positionV relativeFrom="paragraph">
            <wp:posOffset>-147637</wp:posOffset>
          </wp:positionV>
          <wp:extent cx="1419225" cy="8763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9225" cy="8763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